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E8" w:rsidRPr="008D79E8" w:rsidRDefault="008D79E8" w:rsidP="008D79E8">
      <w:pPr>
        <w:tabs>
          <w:tab w:val="left" w:pos="1418"/>
        </w:tabs>
        <w:autoSpaceDE w:val="0"/>
        <w:autoSpaceDN w:val="0"/>
        <w:adjustRightInd w:val="0"/>
        <w:spacing w:after="0" w:line="240" w:lineRule="auto"/>
        <w:ind w:left="284" w:firstLine="424"/>
        <w:rPr>
          <w:rFonts w:ascii="Candara" w:eastAsia="Calibri" w:hAnsi="Candara" w:cs="DTLCaspariTCaps"/>
          <w:smallCaps/>
          <w:color w:val="949699"/>
          <w:sz w:val="16"/>
          <w:szCs w:val="18"/>
        </w:rPr>
      </w:pPr>
      <w:r w:rsidRPr="008D79E8">
        <w:rPr>
          <w:rFonts w:ascii="Calibri" w:eastAsia="Times New Roman" w:hAnsi="Calibri" w:cs="Times New Roman"/>
          <w:noProof/>
          <w:lang w:val="nl-NL" w:eastAsia="nl-NL"/>
        </w:rPr>
        <w:drawing>
          <wp:anchor distT="0" distB="0" distL="114300" distR="114300" simplePos="0" relativeHeight="251659264" behindDoc="0" locked="0" layoutInCell="1" allowOverlap="1" wp14:anchorId="7F0EB8AF" wp14:editId="72D0197E">
            <wp:simplePos x="0" y="0"/>
            <wp:positionH relativeFrom="column">
              <wp:posOffset>208119</wp:posOffset>
            </wp:positionH>
            <wp:positionV relativeFrom="paragraph">
              <wp:posOffset>89535</wp:posOffset>
            </wp:positionV>
            <wp:extent cx="444974" cy="470847"/>
            <wp:effectExtent l="0" t="0" r="0" b="0"/>
            <wp:wrapNone/>
            <wp:docPr id="2" name="Picture 1" descr="Q:\KNHG\knhg logo alleen H grijs(gravisontwerp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KNHG\knhg logo alleen H grijs(gravisontwerpers).tif"/>
                    <pic:cNvPicPr>
                      <a:picLocks noChangeAspect="1" noChangeArrowheads="1"/>
                    </pic:cNvPicPr>
                  </pic:nvPicPr>
                  <pic:blipFill>
                    <a:blip r:embed="rId7" cstate="print"/>
                    <a:srcRect/>
                    <a:stretch>
                      <a:fillRect/>
                    </a:stretch>
                  </pic:blipFill>
                  <pic:spPr bwMode="auto">
                    <a:xfrm>
                      <a:off x="0" y="0"/>
                      <a:ext cx="444974" cy="470847"/>
                    </a:xfrm>
                    <a:prstGeom prst="rect">
                      <a:avLst/>
                    </a:prstGeom>
                    <a:noFill/>
                    <a:ln w="9525">
                      <a:noFill/>
                      <a:miter lim="800000"/>
                      <a:headEnd/>
                      <a:tailEnd/>
                    </a:ln>
                  </pic:spPr>
                </pic:pic>
              </a:graphicData>
            </a:graphic>
          </wp:anchor>
        </w:drawing>
      </w:r>
      <w:r w:rsidRPr="008D79E8">
        <w:rPr>
          <w:rFonts w:ascii="Candara" w:eastAsia="Calibri" w:hAnsi="Candara" w:cs="DTLCaspariTCaps"/>
          <w:smallCaps/>
          <w:color w:val="949699"/>
          <w:sz w:val="16"/>
          <w:szCs w:val="18"/>
        </w:rPr>
        <w:t xml:space="preserve"> </w:t>
      </w:r>
    </w:p>
    <w:p w:rsidR="008D79E8" w:rsidRPr="008D79E8" w:rsidRDefault="008D79E8" w:rsidP="008D79E8">
      <w:pPr>
        <w:autoSpaceDE w:val="0"/>
        <w:autoSpaceDN w:val="0"/>
        <w:adjustRightInd w:val="0"/>
        <w:spacing w:after="0" w:line="240" w:lineRule="auto"/>
        <w:ind w:left="284"/>
        <w:rPr>
          <w:rFonts w:ascii="Candara" w:eastAsia="Calibri" w:hAnsi="Candara" w:cs="DTLCaspariTCaps"/>
          <w:smallCaps/>
          <w:color w:val="949699"/>
          <w:sz w:val="16"/>
          <w:szCs w:val="18"/>
        </w:rPr>
      </w:pPr>
      <w:r w:rsidRPr="008D79E8">
        <w:rPr>
          <w:rFonts w:ascii="Candara" w:eastAsia="Calibri" w:hAnsi="Candara" w:cs="DTLCaspariTCaps"/>
          <w:smallCaps/>
          <w:color w:val="949699"/>
          <w:sz w:val="16"/>
          <w:szCs w:val="18"/>
        </w:rPr>
        <w:t xml:space="preserve"> </w:t>
      </w:r>
    </w:p>
    <w:p w:rsidR="008D79E8" w:rsidRPr="008D79E8" w:rsidRDefault="008D79E8" w:rsidP="008D79E8">
      <w:pPr>
        <w:autoSpaceDE w:val="0"/>
        <w:autoSpaceDN w:val="0"/>
        <w:adjustRightInd w:val="0"/>
        <w:spacing w:after="0" w:line="240" w:lineRule="auto"/>
        <w:ind w:left="284"/>
        <w:rPr>
          <w:rFonts w:ascii="Candara" w:eastAsia="Calibri" w:hAnsi="Candara" w:cs="DTLCaspariTCaps"/>
          <w:smallCaps/>
          <w:color w:val="949699"/>
          <w:sz w:val="20"/>
          <w:szCs w:val="20"/>
        </w:rPr>
      </w:pPr>
      <w:r w:rsidRPr="008D79E8">
        <w:rPr>
          <w:rFonts w:ascii="Candara" w:eastAsia="Calibri" w:hAnsi="Candara" w:cs="DTLCaspariTCaps"/>
          <w:smallCaps/>
          <w:color w:val="949699"/>
          <w:sz w:val="16"/>
          <w:szCs w:val="18"/>
        </w:rPr>
        <w:t xml:space="preserve"> </w:t>
      </w:r>
      <w:r w:rsidRPr="008D79E8">
        <w:rPr>
          <w:rFonts w:ascii="Candara" w:eastAsia="Calibri" w:hAnsi="Candara" w:cs="DTLCaspariTCaps"/>
          <w:smallCaps/>
          <w:color w:val="949699"/>
          <w:sz w:val="16"/>
          <w:szCs w:val="18"/>
        </w:rPr>
        <w:tab/>
        <w:t xml:space="preserve"> </w:t>
      </w:r>
      <w:r w:rsidRPr="008D79E8">
        <w:rPr>
          <w:rFonts w:ascii="Candara" w:eastAsia="Calibri" w:hAnsi="Candara" w:cs="DTLCaspariTCaps"/>
          <w:smallCaps/>
          <w:color w:val="949699"/>
          <w:sz w:val="16"/>
          <w:szCs w:val="18"/>
        </w:rPr>
        <w:tab/>
      </w:r>
      <w:r w:rsidRPr="008D79E8">
        <w:rPr>
          <w:rFonts w:ascii="Candara" w:eastAsia="Calibri" w:hAnsi="Candara" w:cs="DTLCaspariTCaps"/>
          <w:smallCaps/>
          <w:color w:val="949699"/>
          <w:sz w:val="20"/>
          <w:szCs w:val="20"/>
        </w:rPr>
        <w:t xml:space="preserve">bmgn </w:t>
      </w:r>
      <w:r w:rsidRPr="008D79E8">
        <w:rPr>
          <w:rFonts w:ascii="Candara" w:eastAsia="Calibri" w:hAnsi="Candara" w:cs="DTLCaspariTCaps"/>
          <w:color w:val="949699"/>
          <w:sz w:val="20"/>
          <w:szCs w:val="20"/>
        </w:rPr>
        <w:t xml:space="preserve">- Low </w:t>
      </w:r>
      <w:r w:rsidRPr="008D79E8">
        <w:rPr>
          <w:rFonts w:ascii="Candara" w:eastAsia="Calibri" w:hAnsi="Candara" w:cs="DTLCaspariST"/>
          <w:color w:val="949699"/>
          <w:sz w:val="20"/>
          <w:szCs w:val="20"/>
        </w:rPr>
        <w:t xml:space="preserve">Countries Historical Review </w:t>
      </w:r>
      <w:r w:rsidRPr="008D79E8">
        <w:rPr>
          <w:rFonts w:ascii="Candara" w:eastAsia="Calibri" w:hAnsi="Candara" w:cs="DTLCaspariTCaps"/>
          <w:color w:val="949699"/>
          <w:sz w:val="20"/>
          <w:szCs w:val="20"/>
        </w:rPr>
        <w:t xml:space="preserve">| </w:t>
      </w:r>
      <w:r w:rsidRPr="008D79E8">
        <w:rPr>
          <w:rFonts w:ascii="Candara" w:eastAsia="Calibri" w:hAnsi="Candara" w:cs="DTLCaspariST"/>
          <w:color w:val="949699"/>
          <w:sz w:val="20"/>
          <w:szCs w:val="20"/>
        </w:rPr>
        <w:t xml:space="preserve">Volume </w:t>
      </w:r>
      <w:r w:rsidR="00DF5BD1">
        <w:rPr>
          <w:rFonts w:ascii="Candara" w:eastAsia="Calibri" w:hAnsi="Candara" w:cs="DTLCaspariTCaps"/>
          <w:color w:val="949699"/>
          <w:sz w:val="20"/>
          <w:szCs w:val="20"/>
        </w:rPr>
        <w:t>133 (2018</w:t>
      </w:r>
      <w:r w:rsidRPr="008D79E8">
        <w:rPr>
          <w:rFonts w:ascii="Candara" w:eastAsia="Calibri" w:hAnsi="Candara" w:cs="DTLCaspariTCaps"/>
          <w:color w:val="949699"/>
          <w:sz w:val="20"/>
          <w:szCs w:val="20"/>
        </w:rPr>
        <w:t>) | review</w:t>
      </w:r>
      <w:r>
        <w:rPr>
          <w:rFonts w:ascii="DTLCaspariTCaps" w:eastAsia="Calibri" w:hAnsi="DTLCaspariTCaps" w:cs="DTLCaspariTCaps"/>
          <w:color w:val="949699"/>
          <w:sz w:val="20"/>
          <w:szCs w:val="20"/>
        </w:rPr>
        <w:t xml:space="preserve"> </w:t>
      </w:r>
      <w:r w:rsidR="00FB26E3">
        <w:rPr>
          <w:rFonts w:ascii="DTLCaspariTCaps" w:eastAsia="Calibri" w:hAnsi="DTLCaspariTCaps" w:cs="DTLCaspariTCaps"/>
          <w:color w:val="949699"/>
          <w:sz w:val="20"/>
          <w:szCs w:val="20"/>
        </w:rPr>
        <w:t>9</w:t>
      </w:r>
    </w:p>
    <w:p w:rsidR="008D79E8" w:rsidRDefault="008D79E8" w:rsidP="008D79E8">
      <w:pPr>
        <w:spacing w:after="0" w:line="360" w:lineRule="auto"/>
        <w:rPr>
          <w:rFonts w:ascii="Times New Roman" w:eastAsia="Calibri" w:hAnsi="Times New Roman" w:cs="Times New Roman"/>
          <w:sz w:val="24"/>
          <w:szCs w:val="20"/>
        </w:rPr>
      </w:pPr>
    </w:p>
    <w:p w:rsidR="00FB26E3" w:rsidRDefault="00FB26E3" w:rsidP="00FB26E3"/>
    <w:p w:rsidR="00FB26E3" w:rsidRPr="00B92E9F" w:rsidRDefault="00FB26E3" w:rsidP="00FB26E3">
      <w:pPr>
        <w:spacing w:line="360" w:lineRule="auto"/>
        <w:rPr>
          <w:rFonts w:ascii="Times New Roman" w:hAnsi="Times New Roman" w:cs="Times New Roman"/>
        </w:rPr>
      </w:pPr>
      <w:r w:rsidRPr="00B92E9F">
        <w:rPr>
          <w:rFonts w:ascii="Times New Roman" w:hAnsi="Times New Roman" w:cs="Times New Roman"/>
        </w:rPr>
        <w:t xml:space="preserve">Wim Klooster, </w:t>
      </w:r>
      <w:r w:rsidRPr="00B92E9F">
        <w:rPr>
          <w:rFonts w:ascii="Times New Roman" w:hAnsi="Times New Roman" w:cs="Times New Roman"/>
          <w:i/>
        </w:rPr>
        <w:t>The Dutch Moment: War, Trade, and Settlement in t</w:t>
      </w:r>
      <w:r>
        <w:rPr>
          <w:rFonts w:ascii="Times New Roman" w:hAnsi="Times New Roman" w:cs="Times New Roman"/>
          <w:i/>
        </w:rPr>
        <w:t xml:space="preserve">he Seventeenth-Century Atlantic </w:t>
      </w:r>
      <w:r w:rsidRPr="00B92E9F">
        <w:rPr>
          <w:rFonts w:ascii="Times New Roman" w:hAnsi="Times New Roman" w:cs="Times New Roman"/>
          <w:i/>
        </w:rPr>
        <w:t>World</w:t>
      </w:r>
      <w:r w:rsidRPr="00B92E9F">
        <w:rPr>
          <w:rFonts w:ascii="Times New Roman" w:hAnsi="Times New Roman" w:cs="Times New Roman"/>
        </w:rPr>
        <w:t xml:space="preserve"> (</w:t>
      </w:r>
      <w:r>
        <w:rPr>
          <w:rFonts w:ascii="Times New Roman" w:hAnsi="Times New Roman" w:cs="Times New Roman"/>
        </w:rPr>
        <w:t>Leiden: Leiden University Press</w:t>
      </w:r>
      <w:r>
        <w:rPr>
          <w:rFonts w:ascii="Times New Roman" w:hAnsi="Times New Roman" w:cs="Times New Roman"/>
          <w:smallCaps/>
        </w:rPr>
        <w:t xml:space="preserve">; </w:t>
      </w:r>
      <w:r>
        <w:rPr>
          <w:rFonts w:ascii="Times New Roman" w:hAnsi="Times New Roman" w:cs="Times New Roman"/>
        </w:rPr>
        <w:t xml:space="preserve">Ithaca </w:t>
      </w:r>
      <w:r w:rsidRPr="00B92E9F">
        <w:rPr>
          <w:rFonts w:ascii="Times New Roman" w:hAnsi="Times New Roman" w:cs="Times New Roman"/>
          <w:smallCaps/>
        </w:rPr>
        <w:t>ny</w:t>
      </w:r>
      <w:r>
        <w:rPr>
          <w:rFonts w:ascii="Times New Roman" w:hAnsi="Times New Roman" w:cs="Times New Roman"/>
        </w:rPr>
        <w:t>, Cornell University Press,</w:t>
      </w:r>
      <w:r>
        <w:rPr>
          <w:rFonts w:ascii="Times New Roman" w:hAnsi="Times New Roman" w:cs="Times New Roman"/>
          <w:smallCaps/>
        </w:rPr>
        <w:t xml:space="preserve"> </w:t>
      </w:r>
      <w:r w:rsidRPr="00B92E9F">
        <w:rPr>
          <w:rFonts w:ascii="Times New Roman" w:hAnsi="Times New Roman" w:cs="Times New Roman"/>
        </w:rPr>
        <w:t>2016</w:t>
      </w:r>
      <w:r>
        <w:rPr>
          <w:rFonts w:ascii="Times New Roman" w:hAnsi="Times New Roman" w:cs="Times New Roman"/>
        </w:rPr>
        <w:t xml:space="preserve">, 376 pp., </w:t>
      </w:r>
      <w:r w:rsidRPr="00B92E9F">
        <w:rPr>
          <w:rFonts w:ascii="Times New Roman" w:hAnsi="Times New Roman" w:cs="Times New Roman"/>
          <w:smallCaps/>
        </w:rPr>
        <w:t>isbn</w:t>
      </w:r>
      <w:r w:rsidRPr="00B92E9F">
        <w:rPr>
          <w:rFonts w:ascii="Arial" w:hAnsi="Arial" w:cs="Arial"/>
          <w:color w:val="111111"/>
          <w:sz w:val="20"/>
          <w:szCs w:val="20"/>
          <w:shd w:val="clear" w:color="auto" w:fill="FFFFFF"/>
        </w:rPr>
        <w:t xml:space="preserve"> </w:t>
      </w:r>
      <w:r>
        <w:rPr>
          <w:rFonts w:ascii="Times New Roman" w:hAnsi="Times New Roman" w:cs="Times New Roman"/>
          <w:color w:val="111111"/>
          <w:shd w:val="clear" w:color="auto" w:fill="FFFFFF"/>
        </w:rPr>
        <w:t xml:space="preserve">978 </w:t>
      </w:r>
      <w:r w:rsidRPr="00B92E9F">
        <w:rPr>
          <w:rFonts w:ascii="Times New Roman" w:hAnsi="Times New Roman" w:cs="Times New Roman"/>
          <w:color w:val="111111"/>
          <w:shd w:val="clear" w:color="auto" w:fill="FFFFFF"/>
        </w:rPr>
        <w:t>0801450457</w:t>
      </w:r>
      <w:r w:rsidRPr="00B92E9F">
        <w:rPr>
          <w:rFonts w:ascii="Times New Roman" w:hAnsi="Times New Roman" w:cs="Times New Roman"/>
        </w:rPr>
        <w:t>).</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 xml:space="preserve">The Dutch Golden Age stood out as a period when the seven united provinces commanded </w:t>
      </w:r>
      <w:r>
        <w:rPr>
          <w:rFonts w:ascii="Times New Roman" w:hAnsi="Times New Roman" w:cs="Times New Roman"/>
        </w:rPr>
        <w:t xml:space="preserve">the </w:t>
      </w:r>
      <w:r w:rsidRPr="00B92E9F">
        <w:rPr>
          <w:rFonts w:ascii="Times New Roman" w:hAnsi="Times New Roman" w:cs="Times New Roman"/>
        </w:rPr>
        <w:t xml:space="preserve">unparalleled ability to mobilize labor and project violence across the world. In the </w:t>
      </w:r>
      <w:r>
        <w:rPr>
          <w:rFonts w:ascii="Times New Roman" w:hAnsi="Times New Roman" w:cs="Times New Roman"/>
        </w:rPr>
        <w:t xml:space="preserve">history of the </w:t>
      </w:r>
      <w:r w:rsidRPr="00B92E9F">
        <w:rPr>
          <w:rFonts w:ascii="Times New Roman" w:hAnsi="Times New Roman" w:cs="Times New Roman"/>
        </w:rPr>
        <w:t xml:space="preserve">Atlantic </w:t>
      </w:r>
      <w:r>
        <w:rPr>
          <w:rFonts w:ascii="Times New Roman" w:hAnsi="Times New Roman" w:cs="Times New Roman"/>
        </w:rPr>
        <w:t>W</w:t>
      </w:r>
      <w:r w:rsidRPr="00B92E9F">
        <w:rPr>
          <w:rFonts w:ascii="Times New Roman" w:hAnsi="Times New Roman" w:cs="Times New Roman"/>
        </w:rPr>
        <w:t xml:space="preserve">orld this period can be characterized as its ‘Dutch moment’. </w:t>
      </w:r>
      <w:r>
        <w:rPr>
          <w:rFonts w:ascii="Times New Roman" w:hAnsi="Times New Roman" w:cs="Times New Roman"/>
        </w:rPr>
        <w:t>F</w:t>
      </w:r>
      <w:r w:rsidRPr="00B92E9F">
        <w:rPr>
          <w:rFonts w:ascii="Times New Roman" w:hAnsi="Times New Roman" w:cs="Times New Roman"/>
        </w:rPr>
        <w:t xml:space="preserve">or a few decades </w:t>
      </w:r>
      <w:r>
        <w:rPr>
          <w:rFonts w:ascii="Times New Roman" w:hAnsi="Times New Roman" w:cs="Times New Roman"/>
        </w:rPr>
        <w:t xml:space="preserve">the Netherlands </w:t>
      </w:r>
      <w:r w:rsidRPr="00B92E9F">
        <w:rPr>
          <w:rFonts w:ascii="Times New Roman" w:hAnsi="Times New Roman" w:cs="Times New Roman"/>
        </w:rPr>
        <w:t xml:space="preserve">were a crucial factor in the military and economic balance of forces in the trans-Atlantic world of trade, conquest, enslavement and settlement. As Klooster states, violence was a crucial element of this Dutch moment. The ‘Dutch Atlantic empire was forged in the battlefield’ (3). Front and center in this new history of the Dutch Atlantic is Brazil. This has not always been the case. For long, Dutch Brazil was only remembered as having an art-historical relevance. This often-ignored episode in Dutch history is </w:t>
      </w:r>
      <w:r>
        <w:rPr>
          <w:rFonts w:ascii="Times New Roman" w:hAnsi="Times New Roman" w:cs="Times New Roman"/>
        </w:rPr>
        <w:t xml:space="preserve">now </w:t>
      </w:r>
      <w:r w:rsidRPr="00B92E9F">
        <w:rPr>
          <w:rFonts w:ascii="Times New Roman" w:hAnsi="Times New Roman" w:cs="Times New Roman"/>
        </w:rPr>
        <w:t xml:space="preserve">returning to its rightful place in the canon of the Golden Age. </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Until Michiel van Groesen</w:t>
      </w:r>
      <w:r>
        <w:rPr>
          <w:rFonts w:ascii="Times New Roman" w:hAnsi="Times New Roman" w:cs="Times New Roman"/>
        </w:rPr>
        <w:t>’s</w:t>
      </w:r>
      <w:r w:rsidRPr="00B92E9F">
        <w:rPr>
          <w:rFonts w:ascii="Times New Roman" w:hAnsi="Times New Roman" w:cs="Times New Roman"/>
        </w:rPr>
        <w:t xml:space="preserve"> </w:t>
      </w:r>
      <w:r w:rsidRPr="00B92E9F">
        <w:rPr>
          <w:rFonts w:ascii="Times New Roman" w:hAnsi="Times New Roman" w:cs="Times New Roman"/>
          <w:i/>
        </w:rPr>
        <w:t xml:space="preserve">The Legacy of Dutch Brazil </w:t>
      </w:r>
      <w:r w:rsidRPr="00B92E9F">
        <w:rPr>
          <w:rFonts w:ascii="Times New Roman" w:hAnsi="Times New Roman" w:cs="Times New Roman"/>
        </w:rPr>
        <w:t xml:space="preserve">(2014) the wider implications of </w:t>
      </w:r>
      <w:r>
        <w:rPr>
          <w:rFonts w:ascii="Times New Roman" w:hAnsi="Times New Roman" w:cs="Times New Roman"/>
        </w:rPr>
        <w:t>the Dutch colonial project in Brazil</w:t>
      </w:r>
      <w:r w:rsidRPr="00B92E9F">
        <w:rPr>
          <w:rFonts w:ascii="Times New Roman" w:hAnsi="Times New Roman" w:cs="Times New Roman"/>
        </w:rPr>
        <w:t xml:space="preserve"> remained understudied. Van Groesen posits that the reason for this </w:t>
      </w:r>
      <w:r>
        <w:rPr>
          <w:rFonts w:ascii="Times New Roman" w:hAnsi="Times New Roman" w:cs="Times New Roman"/>
        </w:rPr>
        <w:t>historiographical lacuna</w:t>
      </w:r>
      <w:r w:rsidRPr="00B92E9F">
        <w:rPr>
          <w:rFonts w:ascii="Times New Roman" w:hAnsi="Times New Roman" w:cs="Times New Roman"/>
        </w:rPr>
        <w:t xml:space="preserve"> has long been the association of Brazil with an ‘embarrassing failure’. </w:t>
      </w:r>
      <w:r>
        <w:rPr>
          <w:rFonts w:ascii="Times New Roman" w:hAnsi="Times New Roman" w:cs="Times New Roman"/>
        </w:rPr>
        <w:t>This</w:t>
      </w:r>
      <w:r w:rsidRPr="00B92E9F">
        <w:rPr>
          <w:rFonts w:ascii="Times New Roman" w:hAnsi="Times New Roman" w:cs="Times New Roman"/>
        </w:rPr>
        <w:t xml:space="preserve"> point </w:t>
      </w:r>
      <w:r>
        <w:rPr>
          <w:rFonts w:ascii="Times New Roman" w:hAnsi="Times New Roman" w:cs="Times New Roman"/>
        </w:rPr>
        <w:t xml:space="preserve">has </w:t>
      </w:r>
      <w:r w:rsidRPr="00B92E9F">
        <w:rPr>
          <w:rFonts w:ascii="Times New Roman" w:hAnsi="Times New Roman" w:cs="Times New Roman"/>
        </w:rPr>
        <w:t xml:space="preserve">also </w:t>
      </w:r>
      <w:r>
        <w:rPr>
          <w:rFonts w:ascii="Times New Roman" w:hAnsi="Times New Roman" w:cs="Times New Roman"/>
        </w:rPr>
        <w:t xml:space="preserve">been </w:t>
      </w:r>
      <w:r w:rsidRPr="00B92E9F">
        <w:rPr>
          <w:rFonts w:ascii="Times New Roman" w:hAnsi="Times New Roman" w:cs="Times New Roman"/>
        </w:rPr>
        <w:t xml:space="preserve">taken up by Klooster who notes the same quick transition from hubris to embarrassment and forgetfulness. The new studies move away from the methodological nationalism that has engendered the forgetting of </w:t>
      </w:r>
      <w:r>
        <w:rPr>
          <w:rFonts w:ascii="Times New Roman" w:hAnsi="Times New Roman" w:cs="Times New Roman"/>
        </w:rPr>
        <w:t>‘</w:t>
      </w:r>
      <w:r w:rsidRPr="00B92E9F">
        <w:rPr>
          <w:rFonts w:ascii="Times New Roman" w:hAnsi="Times New Roman" w:cs="Times New Roman"/>
        </w:rPr>
        <w:t>Brazil</w:t>
      </w:r>
      <w:r>
        <w:rPr>
          <w:rFonts w:ascii="Times New Roman" w:hAnsi="Times New Roman" w:cs="Times New Roman"/>
        </w:rPr>
        <w:t>’</w:t>
      </w:r>
      <w:r w:rsidRPr="00B92E9F">
        <w:rPr>
          <w:rFonts w:ascii="Times New Roman" w:hAnsi="Times New Roman" w:cs="Times New Roman"/>
        </w:rPr>
        <w:t>. As a result, the history of Dutch Brazil is clearly in for a new round of promising historical investigations. It should however be said that the limit to this upsurge remains that all recent publications on Dutch Brazil have been in English rather than Dutch</w:t>
      </w:r>
      <w:r>
        <w:rPr>
          <w:rFonts w:ascii="Times New Roman" w:hAnsi="Times New Roman" w:cs="Times New Roman"/>
        </w:rPr>
        <w:t xml:space="preserve">. The publication of a Dutch translation of </w:t>
      </w:r>
      <w:r>
        <w:rPr>
          <w:rFonts w:ascii="Times New Roman" w:hAnsi="Times New Roman" w:cs="Times New Roman"/>
          <w:i/>
        </w:rPr>
        <w:t xml:space="preserve">The Dutch Moment </w:t>
      </w:r>
      <w:r>
        <w:rPr>
          <w:rFonts w:ascii="Times New Roman" w:hAnsi="Times New Roman" w:cs="Times New Roman"/>
        </w:rPr>
        <w:t>in 2018 will certainly remedy this</w:t>
      </w:r>
      <w:r w:rsidRPr="00B92E9F">
        <w:rPr>
          <w:rFonts w:ascii="Times New Roman" w:hAnsi="Times New Roman" w:cs="Times New Roman"/>
        </w:rPr>
        <w:t>.</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 xml:space="preserve">By using the metaphor of the ‘unleashed lion’ Klooster has magnificently captured the early Dutch steps into the Atlantic. In the opening chapters Klooster </w:t>
      </w:r>
      <w:r>
        <w:rPr>
          <w:rFonts w:ascii="Times New Roman" w:hAnsi="Times New Roman" w:cs="Times New Roman"/>
        </w:rPr>
        <w:t xml:space="preserve">offers </w:t>
      </w:r>
      <w:r w:rsidRPr="00B92E9F">
        <w:rPr>
          <w:rFonts w:ascii="Times New Roman" w:hAnsi="Times New Roman" w:cs="Times New Roman"/>
        </w:rPr>
        <w:t xml:space="preserve">us new information about the early ventures </w:t>
      </w:r>
      <w:r>
        <w:rPr>
          <w:rFonts w:ascii="Times New Roman" w:hAnsi="Times New Roman" w:cs="Times New Roman"/>
        </w:rPr>
        <w:t>and he has also</w:t>
      </w:r>
      <w:r w:rsidRPr="00B92E9F">
        <w:rPr>
          <w:rFonts w:ascii="Times New Roman" w:hAnsi="Times New Roman" w:cs="Times New Roman"/>
        </w:rPr>
        <w:t xml:space="preserve"> managed to dig up details of forgotten colonization schemes in the later period. An overemphasis on military prowess would not do justice to the Dutch Atlantic moment. Klooster keenly chose to include revolts and mutinies in his narrative of the Dutch moment (141). Resistance by the sailors and soldiers often confined the ambitions of commanders and</w:t>
      </w:r>
      <w:r>
        <w:rPr>
          <w:rFonts w:ascii="Times New Roman" w:hAnsi="Times New Roman" w:cs="Times New Roman"/>
        </w:rPr>
        <w:t xml:space="preserve"> this observation</w:t>
      </w:r>
      <w:r w:rsidRPr="00B92E9F">
        <w:rPr>
          <w:rFonts w:ascii="Times New Roman" w:hAnsi="Times New Roman" w:cs="Times New Roman"/>
        </w:rPr>
        <w:t xml:space="preserve"> add</w:t>
      </w:r>
      <w:r>
        <w:rPr>
          <w:rFonts w:ascii="Times New Roman" w:hAnsi="Times New Roman" w:cs="Times New Roman"/>
        </w:rPr>
        <w:t>s</w:t>
      </w:r>
      <w:r w:rsidRPr="00B92E9F">
        <w:rPr>
          <w:rFonts w:ascii="Times New Roman" w:hAnsi="Times New Roman" w:cs="Times New Roman"/>
        </w:rPr>
        <w:t xml:space="preserve"> valuable </w:t>
      </w:r>
      <w:r w:rsidRPr="00B92E9F">
        <w:rPr>
          <w:rFonts w:ascii="Times New Roman" w:hAnsi="Times New Roman" w:cs="Times New Roman"/>
        </w:rPr>
        <w:lastRenderedPageBreak/>
        <w:t>insights to our understanding of the dynamics of the expansion. The violence projected outwards could just as easily come to haunt those in power, a notion that adds to the metaphor of the ‘unleas</w:t>
      </w:r>
      <w:r>
        <w:rPr>
          <w:rFonts w:ascii="Times New Roman" w:hAnsi="Times New Roman" w:cs="Times New Roman"/>
        </w:rPr>
        <w:t>h</w:t>
      </w:r>
      <w:r w:rsidRPr="00B92E9F">
        <w:rPr>
          <w:rFonts w:ascii="Times New Roman" w:hAnsi="Times New Roman" w:cs="Times New Roman"/>
        </w:rPr>
        <w:t>ed lion’.</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Violence came at a cost. The figures of the deaths at the two battles of Guararapes</w:t>
      </w:r>
      <w:r>
        <w:rPr>
          <w:rFonts w:ascii="Times New Roman" w:hAnsi="Times New Roman" w:cs="Times New Roman"/>
        </w:rPr>
        <w:t xml:space="preserve"> – with 500 and well over a thousand Dutch casualties respectively -</w:t>
      </w:r>
      <w:r w:rsidRPr="00B92E9F">
        <w:rPr>
          <w:rFonts w:ascii="Times New Roman" w:hAnsi="Times New Roman" w:cs="Times New Roman"/>
        </w:rPr>
        <w:t xml:space="preserve"> are sobering. Not only did </w:t>
      </w:r>
      <w:r>
        <w:rPr>
          <w:rFonts w:ascii="Times New Roman" w:hAnsi="Times New Roman" w:cs="Times New Roman"/>
        </w:rPr>
        <w:t>the colonial project</w:t>
      </w:r>
      <w:r w:rsidRPr="00B92E9F">
        <w:rPr>
          <w:rFonts w:ascii="Times New Roman" w:hAnsi="Times New Roman" w:cs="Times New Roman"/>
        </w:rPr>
        <w:t xml:space="preserve"> end in defeat, there were also structural weaknesses </w:t>
      </w:r>
      <w:r>
        <w:rPr>
          <w:rFonts w:ascii="Times New Roman" w:hAnsi="Times New Roman" w:cs="Times New Roman"/>
        </w:rPr>
        <w:t>to the Dutch</w:t>
      </w:r>
      <w:r w:rsidRPr="00B92E9F">
        <w:rPr>
          <w:rFonts w:ascii="Times New Roman" w:hAnsi="Times New Roman" w:cs="Times New Roman"/>
        </w:rPr>
        <w:t xml:space="preserve"> empire. The inability to rely on domestic settlers created a need for ‘tolerance’ of non-Dutch and non-Dutch Reformed elements in the colonies. With the possible exception of Amsterdam, religious tolerance </w:t>
      </w:r>
      <w:r>
        <w:rPr>
          <w:rFonts w:ascii="Times New Roman" w:hAnsi="Times New Roman" w:cs="Times New Roman"/>
        </w:rPr>
        <w:t>was limited</w:t>
      </w:r>
      <w:r w:rsidRPr="00B92E9F">
        <w:rPr>
          <w:rFonts w:ascii="Times New Roman" w:hAnsi="Times New Roman" w:cs="Times New Roman"/>
        </w:rPr>
        <w:t xml:space="preserve"> in the Dutch Republic of the seventeenth century</w:t>
      </w:r>
      <w:r>
        <w:rPr>
          <w:rFonts w:ascii="Times New Roman" w:hAnsi="Times New Roman" w:cs="Times New Roman"/>
        </w:rPr>
        <w:t>. This</w:t>
      </w:r>
      <w:r w:rsidRPr="00B92E9F">
        <w:rPr>
          <w:rFonts w:ascii="Times New Roman" w:hAnsi="Times New Roman" w:cs="Times New Roman"/>
        </w:rPr>
        <w:t xml:space="preserve"> was</w:t>
      </w:r>
      <w:r>
        <w:rPr>
          <w:rFonts w:ascii="Times New Roman" w:hAnsi="Times New Roman" w:cs="Times New Roman"/>
        </w:rPr>
        <w:t>,</w:t>
      </w:r>
      <w:r w:rsidRPr="00B92E9F">
        <w:rPr>
          <w:rFonts w:ascii="Times New Roman" w:hAnsi="Times New Roman" w:cs="Times New Roman"/>
        </w:rPr>
        <w:t xml:space="preserve"> however, ‘the norm in the colonies’. </w:t>
      </w:r>
      <w:r>
        <w:rPr>
          <w:rFonts w:ascii="Times New Roman" w:hAnsi="Times New Roman" w:cs="Times New Roman"/>
        </w:rPr>
        <w:t xml:space="preserve">The </w:t>
      </w:r>
      <w:r w:rsidRPr="00B92E9F">
        <w:rPr>
          <w:rFonts w:ascii="Times New Roman" w:hAnsi="Times New Roman" w:cs="Times New Roman"/>
        </w:rPr>
        <w:t>Reformed ministers</w:t>
      </w:r>
      <w:r>
        <w:rPr>
          <w:rFonts w:ascii="Times New Roman" w:hAnsi="Times New Roman" w:cs="Times New Roman"/>
        </w:rPr>
        <w:t xml:space="preserve"> did not like this</w:t>
      </w:r>
      <w:r w:rsidRPr="00B92E9F">
        <w:rPr>
          <w:rFonts w:ascii="Times New Roman" w:hAnsi="Times New Roman" w:cs="Times New Roman"/>
        </w:rPr>
        <w:t xml:space="preserve">, but deviating from a tolerant course overseas proved to be much more costly than opposition from stringent Calvinists. The Dutch found out the hard way how costly it was when the Catholic Portuguese in Dutch Brazil rose in revolt. </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 xml:space="preserve">Calling </w:t>
      </w:r>
      <w:r>
        <w:rPr>
          <w:rFonts w:ascii="Times New Roman" w:hAnsi="Times New Roman" w:cs="Times New Roman"/>
        </w:rPr>
        <w:t>the overseas expansion of the Republic</w:t>
      </w:r>
      <w:r w:rsidRPr="00B92E9F">
        <w:rPr>
          <w:rFonts w:ascii="Times New Roman" w:hAnsi="Times New Roman" w:cs="Times New Roman"/>
        </w:rPr>
        <w:t xml:space="preserve"> the </w:t>
      </w:r>
      <w:r>
        <w:rPr>
          <w:rFonts w:ascii="Times New Roman" w:hAnsi="Times New Roman" w:cs="Times New Roman"/>
        </w:rPr>
        <w:t>“</w:t>
      </w:r>
      <w:r w:rsidRPr="00B92E9F">
        <w:rPr>
          <w:rFonts w:ascii="Times New Roman" w:hAnsi="Times New Roman" w:cs="Times New Roman"/>
        </w:rPr>
        <w:t>Dutch Moment</w:t>
      </w:r>
      <w:r>
        <w:rPr>
          <w:rFonts w:ascii="Times New Roman" w:hAnsi="Times New Roman" w:cs="Times New Roman"/>
        </w:rPr>
        <w:t>”</w:t>
      </w:r>
      <w:r w:rsidRPr="00B92E9F">
        <w:rPr>
          <w:rFonts w:ascii="Times New Roman" w:hAnsi="Times New Roman" w:cs="Times New Roman"/>
        </w:rPr>
        <w:t xml:space="preserve"> has a catchy ring to it, although Klooster himself admits that this </w:t>
      </w:r>
      <w:r>
        <w:rPr>
          <w:rFonts w:ascii="Times New Roman" w:hAnsi="Times New Roman" w:cs="Times New Roman"/>
        </w:rPr>
        <w:t xml:space="preserve">phrase </w:t>
      </w:r>
      <w:r w:rsidRPr="00B92E9F">
        <w:rPr>
          <w:rFonts w:ascii="Times New Roman" w:hAnsi="Times New Roman" w:cs="Times New Roman"/>
        </w:rPr>
        <w:t xml:space="preserve">might </w:t>
      </w:r>
      <w:r>
        <w:rPr>
          <w:rFonts w:ascii="Times New Roman" w:hAnsi="Times New Roman" w:cs="Times New Roman"/>
        </w:rPr>
        <w:t>imply</w:t>
      </w:r>
      <w:r w:rsidRPr="00B92E9F">
        <w:rPr>
          <w:rFonts w:ascii="Times New Roman" w:hAnsi="Times New Roman" w:cs="Times New Roman"/>
        </w:rPr>
        <w:t xml:space="preserve"> an overtly national interpretation of a wave of conquest and ware that was not clearly fought along national lines. Chapter 7 is therefore devoted entirely to the ‘non-Dutch’ in the Dutch Atlantic, both other Europeans, inter</w:t>
      </w:r>
      <w:r>
        <w:rPr>
          <w:rFonts w:ascii="Times New Roman" w:hAnsi="Times New Roman" w:cs="Times New Roman"/>
        </w:rPr>
        <w:t>-</w:t>
      </w:r>
      <w:r w:rsidRPr="00B92E9F">
        <w:rPr>
          <w:rFonts w:ascii="Times New Roman" w:hAnsi="Times New Roman" w:cs="Times New Roman"/>
        </w:rPr>
        <w:t>imperial merchants, those of other faiths than the Dutch Reformed church and of course the enslaved Africans. He repeatedly touches on the Dutch attempts to recruit indigenous and enslaved auxiliaries to their armies (29, 50, 86, 90). The Dutch Atlantic empire was constructed ‘with the help of others’ in much the same way that the Dutch aided in the construction of the other empires.</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 xml:space="preserve">Assessing the Dutch </w:t>
      </w:r>
      <w:r>
        <w:rPr>
          <w:rFonts w:ascii="Times New Roman" w:hAnsi="Times New Roman" w:cs="Times New Roman"/>
        </w:rPr>
        <w:t>M</w:t>
      </w:r>
      <w:r w:rsidRPr="00B92E9F">
        <w:rPr>
          <w:rFonts w:ascii="Times New Roman" w:hAnsi="Times New Roman" w:cs="Times New Roman"/>
        </w:rPr>
        <w:t xml:space="preserve">oment </w:t>
      </w:r>
      <w:r>
        <w:rPr>
          <w:rFonts w:ascii="Times New Roman" w:hAnsi="Times New Roman" w:cs="Times New Roman"/>
        </w:rPr>
        <w:t>also invites</w:t>
      </w:r>
      <w:r w:rsidRPr="00B92E9F">
        <w:rPr>
          <w:rFonts w:ascii="Times New Roman" w:hAnsi="Times New Roman" w:cs="Times New Roman"/>
        </w:rPr>
        <w:t xml:space="preserve"> a comment about the remaining century of Dutch presence in the Atlantic. In the last quarter of the seventeenth century the Dutch had changed from being ‘attackers’ to becoming ‘defenders’. The period following the loss of Brazil has been characterized by the Dutch role as middlemen in the Atlantic world. Klooster reaffirms this</w:t>
      </w:r>
      <w:r>
        <w:rPr>
          <w:rFonts w:ascii="Times New Roman" w:hAnsi="Times New Roman" w:cs="Times New Roman"/>
        </w:rPr>
        <w:t xml:space="preserve"> view</w:t>
      </w:r>
      <w:r w:rsidRPr="00B92E9F">
        <w:rPr>
          <w:rFonts w:ascii="Times New Roman" w:hAnsi="Times New Roman" w:cs="Times New Roman"/>
        </w:rPr>
        <w:t xml:space="preserve"> by investigating inter-imperial trade. The Dutch now rose to prominence, at one time becoming the greatest slave traders of the Atlantic world</w:t>
      </w:r>
      <w:r>
        <w:rPr>
          <w:rFonts w:ascii="Times New Roman" w:hAnsi="Times New Roman" w:cs="Times New Roman"/>
        </w:rPr>
        <w:t xml:space="preserve"> </w:t>
      </w:r>
      <w:r w:rsidRPr="00B92E9F">
        <w:rPr>
          <w:rFonts w:ascii="Times New Roman" w:hAnsi="Times New Roman" w:cs="Times New Roman"/>
        </w:rPr>
        <w:t>(164)</w:t>
      </w:r>
      <w:r>
        <w:rPr>
          <w:rFonts w:ascii="Times New Roman" w:hAnsi="Times New Roman" w:cs="Times New Roman"/>
        </w:rPr>
        <w:t>.</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 xml:space="preserve">Violence is expensive and the Dutch assault on the Atlantic contributed to the bankruptcy of the Dutch West India Company (51). Scaling down their operation, Klooster </w:t>
      </w:r>
      <w:r>
        <w:rPr>
          <w:rFonts w:ascii="Times New Roman" w:hAnsi="Times New Roman" w:cs="Times New Roman"/>
        </w:rPr>
        <w:t>provides a reassessment of</w:t>
      </w:r>
      <w:r w:rsidRPr="00B92E9F">
        <w:rPr>
          <w:rFonts w:ascii="Times New Roman" w:hAnsi="Times New Roman" w:cs="Times New Roman"/>
        </w:rPr>
        <w:t xml:space="preserve"> the fates of private settlements (patroonships). These ventures were aimed at pooling private investments into the colonial expansion. When the seventeenth century came to a close, the Dutch Atlantic was no longer very special. The Dutch and its colonies became followers of the French and British, albeit on a much smaller scale.</w:t>
      </w: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lastRenderedPageBreak/>
        <w:t xml:space="preserve">In the ongoing surge of Dutch Atlantic publications, Wim Klooster has taken center stage. As editor and author, Klooster has been contributing to the literature on the general Atlantic world, and specifically to the Dutch in Atlantic history. His latest work, </w:t>
      </w:r>
      <w:r w:rsidRPr="00B92E9F">
        <w:rPr>
          <w:rFonts w:ascii="Times New Roman" w:hAnsi="Times New Roman" w:cs="Times New Roman"/>
          <w:i/>
        </w:rPr>
        <w:t>The Dutch Moment</w:t>
      </w:r>
      <w:r>
        <w:rPr>
          <w:rFonts w:ascii="Times New Roman" w:hAnsi="Times New Roman" w:cs="Times New Roman"/>
        </w:rPr>
        <w:t>,</w:t>
      </w:r>
      <w:r w:rsidRPr="00B92E9F">
        <w:rPr>
          <w:rFonts w:ascii="Times New Roman" w:hAnsi="Times New Roman" w:cs="Times New Roman"/>
        </w:rPr>
        <w:t xml:space="preserve"> </w:t>
      </w:r>
    </w:p>
    <w:p w:rsidR="00FB26E3" w:rsidRPr="00B92E9F" w:rsidRDefault="00FB26E3" w:rsidP="00D8687A">
      <w:pPr>
        <w:spacing w:after="0" w:line="360" w:lineRule="auto"/>
        <w:rPr>
          <w:rFonts w:ascii="Times New Roman" w:hAnsi="Times New Roman" w:cs="Times New Roman"/>
        </w:rPr>
      </w:pPr>
      <w:r>
        <w:rPr>
          <w:rFonts w:ascii="Times New Roman" w:hAnsi="Times New Roman" w:cs="Times New Roman"/>
        </w:rPr>
        <w:t>m</w:t>
      </w:r>
      <w:r w:rsidRPr="00B92E9F">
        <w:rPr>
          <w:rFonts w:ascii="Times New Roman" w:hAnsi="Times New Roman" w:cs="Times New Roman"/>
        </w:rPr>
        <w:t>akes many valuable contributions to our understanding of the Atlantic world and the Dutch in it. The greatest contribution by Klooster undoubtedly lies in the</w:t>
      </w:r>
      <w:r>
        <w:rPr>
          <w:rFonts w:ascii="Times New Roman" w:hAnsi="Times New Roman" w:cs="Times New Roman"/>
        </w:rPr>
        <w:t xml:space="preserve"> boldness of his work paired with the</w:t>
      </w:r>
      <w:r w:rsidRPr="00B92E9F">
        <w:rPr>
          <w:rFonts w:ascii="Times New Roman" w:hAnsi="Times New Roman" w:cs="Times New Roman"/>
        </w:rPr>
        <w:t xml:space="preserve"> fact that he has no fear of</w:t>
      </w:r>
      <w:r>
        <w:rPr>
          <w:rFonts w:ascii="Times New Roman" w:hAnsi="Times New Roman" w:cs="Times New Roman"/>
        </w:rPr>
        <w:t xml:space="preserve"> exploring</w:t>
      </w:r>
      <w:r w:rsidRPr="00B92E9F">
        <w:rPr>
          <w:rFonts w:ascii="Times New Roman" w:hAnsi="Times New Roman" w:cs="Times New Roman"/>
        </w:rPr>
        <w:t xml:space="preserve"> archival sources. He has used them extensively to reassess the Dutch Moment and setting a new standard for contributions to Dutch Atlantic history.</w:t>
      </w:r>
    </w:p>
    <w:p w:rsidR="00FB26E3" w:rsidRPr="00B92E9F" w:rsidRDefault="00FB26E3" w:rsidP="00D8687A">
      <w:pPr>
        <w:spacing w:after="0" w:line="360" w:lineRule="auto"/>
        <w:rPr>
          <w:rFonts w:ascii="Times New Roman" w:hAnsi="Times New Roman" w:cs="Times New Roman"/>
        </w:rPr>
      </w:pPr>
    </w:p>
    <w:p w:rsidR="00FB26E3" w:rsidRPr="00B92E9F" w:rsidRDefault="00FB26E3" w:rsidP="00D8687A">
      <w:pPr>
        <w:spacing w:after="0" w:line="360" w:lineRule="auto"/>
        <w:rPr>
          <w:rFonts w:ascii="Times New Roman" w:hAnsi="Times New Roman" w:cs="Times New Roman"/>
        </w:rPr>
      </w:pPr>
      <w:r w:rsidRPr="00B92E9F">
        <w:rPr>
          <w:rFonts w:ascii="Times New Roman" w:hAnsi="Times New Roman" w:cs="Times New Roman"/>
        </w:rPr>
        <w:t>Karwan Fatah-Black, Leiden</w:t>
      </w:r>
      <w:r>
        <w:rPr>
          <w:rFonts w:ascii="Times New Roman" w:hAnsi="Times New Roman" w:cs="Times New Roman"/>
        </w:rPr>
        <w:t xml:space="preserve"> University</w:t>
      </w:r>
    </w:p>
    <w:p w:rsidR="00D24804" w:rsidRDefault="00D24804" w:rsidP="00D8687A">
      <w:pPr>
        <w:spacing w:after="0" w:line="360" w:lineRule="auto"/>
        <w:rPr>
          <w:rFonts w:ascii="Times New Roman" w:eastAsia="Calibri" w:hAnsi="Times New Roman" w:cs="Times New Roman"/>
          <w:sz w:val="24"/>
          <w:szCs w:val="20"/>
        </w:rPr>
      </w:pPr>
    </w:p>
    <w:sectPr w:rsidR="00D24804">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44" w:rsidRDefault="00FD0D44" w:rsidP="00FD0D44">
      <w:pPr>
        <w:spacing w:after="0" w:line="240" w:lineRule="auto"/>
      </w:pPr>
      <w:r>
        <w:separator/>
      </w:r>
    </w:p>
  </w:endnote>
  <w:endnote w:type="continuationSeparator" w:id="0">
    <w:p w:rsidR="00FD0D44" w:rsidRDefault="00FD0D44" w:rsidP="00FD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DTLCaspariTCaps">
    <w:altName w:val="Calibri"/>
    <w:panose1 w:val="00000000000000000000"/>
    <w:charset w:val="00"/>
    <w:family w:val="auto"/>
    <w:notTrueType/>
    <w:pitch w:val="default"/>
    <w:sig w:usb0="00000003" w:usb1="00000000" w:usb2="00000000" w:usb3="00000000" w:csb0="00000001" w:csb1="00000000"/>
  </w:font>
  <w:font w:name="DTLCaspariS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TLCaspariT-Caps">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D44" w:rsidRPr="00FD0546" w:rsidRDefault="00FD0D44" w:rsidP="00FD0D44">
    <w:pPr>
      <w:autoSpaceDE w:val="0"/>
      <w:autoSpaceDN w:val="0"/>
      <w:adjustRightInd w:val="0"/>
      <w:spacing w:after="0"/>
      <w:ind w:left="708" w:firstLine="708"/>
      <w:rPr>
        <w:rFonts w:ascii="Candara" w:eastAsia="Calibri" w:hAnsi="Candara" w:cs="DTLCaspariTCaps"/>
        <w:smallCaps/>
        <w:color w:val="949699"/>
        <w:sz w:val="18"/>
        <w:szCs w:val="18"/>
      </w:rPr>
    </w:pPr>
    <w:r w:rsidRPr="00FD0546">
      <w:rPr>
        <w:rFonts w:ascii="Candara" w:eastAsia="Calibri" w:hAnsi="Candara" w:cs="DTLCaspariST"/>
        <w:color w:val="949699"/>
        <w:sz w:val="18"/>
        <w:szCs w:val="18"/>
      </w:rPr>
      <w:t xml:space="preserve">Published by Royal Netherlands Historical Society | </w:t>
    </w:r>
    <w:proofErr w:type="spellStart"/>
    <w:r w:rsidRPr="00FD0546">
      <w:rPr>
        <w:rFonts w:ascii="Candara" w:eastAsia="Calibri" w:hAnsi="Candara" w:cs="DTLCaspariTCaps"/>
        <w:smallCaps/>
        <w:color w:val="949699"/>
        <w:sz w:val="18"/>
        <w:szCs w:val="18"/>
      </w:rPr>
      <w:t>knhg</w:t>
    </w:r>
    <w:bookmarkStart w:id="0" w:name="_GoBack"/>
    <w:bookmarkEnd w:id="0"/>
    <w:proofErr w:type="spellEnd"/>
  </w:p>
  <w:p w:rsidR="00FD0D44" w:rsidRPr="00FD0546" w:rsidRDefault="00FD0D44" w:rsidP="00FD0D44">
    <w:pPr>
      <w:autoSpaceDE w:val="0"/>
      <w:autoSpaceDN w:val="0"/>
      <w:adjustRightInd w:val="0"/>
      <w:spacing w:after="0"/>
      <w:ind w:left="708" w:firstLine="708"/>
      <w:rPr>
        <w:rFonts w:ascii="Candara" w:eastAsia="Calibri" w:hAnsi="Candara" w:cs="DTLCaspariST"/>
        <w:color w:val="949699"/>
        <w:sz w:val="18"/>
        <w:szCs w:val="18"/>
      </w:rPr>
    </w:pPr>
    <w:r w:rsidRPr="00FD0546">
      <w:rPr>
        <w:rFonts w:ascii="Candara" w:eastAsia="Calibri" w:hAnsi="Candara" w:cs="DTLCaspariST"/>
        <w:color w:val="949699"/>
        <w:sz w:val="18"/>
        <w:szCs w:val="18"/>
      </w:rPr>
      <w:t>Creative Commons Attribution-</w:t>
    </w:r>
    <w:proofErr w:type="spellStart"/>
    <w:r w:rsidRPr="00FD0546">
      <w:rPr>
        <w:rFonts w:ascii="Candara" w:eastAsia="Calibri" w:hAnsi="Candara" w:cs="DTLCaspariST"/>
        <w:color w:val="949699"/>
        <w:sz w:val="18"/>
        <w:szCs w:val="18"/>
      </w:rPr>
      <w:t>NonCommercial</w:t>
    </w:r>
    <w:proofErr w:type="spellEnd"/>
    <w:r w:rsidRPr="00FD0546">
      <w:rPr>
        <w:rFonts w:ascii="Candara" w:eastAsia="Calibri" w:hAnsi="Candara" w:cs="DTLCaspariST"/>
        <w:color w:val="949699"/>
        <w:sz w:val="18"/>
        <w:szCs w:val="18"/>
      </w:rPr>
      <w:t xml:space="preserve"> 4.0 International License</w:t>
    </w:r>
  </w:p>
  <w:p w:rsidR="00FD0D44" w:rsidRPr="00FD0546" w:rsidRDefault="00FD0D44" w:rsidP="00FD0D44">
    <w:pPr>
      <w:ind w:left="708" w:firstLine="708"/>
      <w:rPr>
        <w:rFonts w:ascii="Candara" w:eastAsia="Calibri" w:hAnsi="Candara" w:cs="Times New Roman"/>
        <w:sz w:val="18"/>
        <w:szCs w:val="18"/>
      </w:rPr>
    </w:pPr>
    <w:r w:rsidRPr="00FD0546">
      <w:rPr>
        <w:rFonts w:ascii="Candara" w:eastAsia="Calibri" w:hAnsi="Candara" w:cs="DTLCaspariTCaps"/>
        <w:smallCaps/>
        <w:color w:val="949699"/>
        <w:sz w:val="16"/>
        <w:szCs w:val="16"/>
      </w:rPr>
      <w:t>DOI:</w:t>
    </w:r>
    <w:r w:rsidRPr="00FD0546">
      <w:rPr>
        <w:rFonts w:ascii="DTLCaspariT-Caps" w:eastAsia="Calibri" w:hAnsi="DTLCaspariT-Caps" w:cs="DTLCaspariT-Caps"/>
        <w:color w:val="93A9A6"/>
        <w:sz w:val="16"/>
        <w:szCs w:val="16"/>
      </w:rPr>
      <w:t xml:space="preserve"> </w:t>
    </w:r>
    <w:r w:rsidRPr="00FD0546">
      <w:rPr>
        <w:rFonts w:ascii="DTLCaspariST" w:eastAsia="Calibri" w:hAnsi="DTLCaspariST" w:cs="DTLCaspariST"/>
        <w:color w:val="93A9A6"/>
        <w:sz w:val="16"/>
        <w:szCs w:val="16"/>
      </w:rPr>
      <w:t>10.18352/bmgn-lchr.</w:t>
    </w:r>
    <w:r w:rsidR="000031DC" w:rsidRPr="000031DC">
      <w:rPr>
        <w:rFonts w:ascii="Candara" w:hAnsi="Candara"/>
        <w:color w:val="BFBFBF" w:themeColor="background1" w:themeShade="BF"/>
        <w:sz w:val="16"/>
        <w:szCs w:val="16"/>
        <w:shd w:val="clear" w:color="auto" w:fill="FFFFFF"/>
      </w:rPr>
      <w:t>10439</w:t>
    </w:r>
    <w:r w:rsidRPr="00FD0546">
      <w:rPr>
        <w:rFonts w:ascii="DTLCaspariST" w:eastAsia="Calibri" w:hAnsi="DTLCaspariST" w:cs="DTLCaspariST"/>
        <w:color w:val="93A9A6"/>
        <w:sz w:val="16"/>
        <w:szCs w:val="16"/>
      </w:rPr>
      <w:t xml:space="preserve"> </w:t>
    </w:r>
    <w:r w:rsidRPr="00FD0546">
      <w:rPr>
        <w:rFonts w:ascii="Candara" w:eastAsia="Calibri" w:hAnsi="Candara" w:cs="DTLCaspariST"/>
        <w:color w:val="949699"/>
        <w:sz w:val="18"/>
        <w:szCs w:val="18"/>
      </w:rPr>
      <w:t>| www.bmgn-lchr.nl | e</w:t>
    </w:r>
    <w:r w:rsidRPr="00FD0546">
      <w:rPr>
        <w:rFonts w:ascii="Candara" w:eastAsia="Calibri" w:hAnsi="Candara" w:cs="DTLCaspariST"/>
        <w:smallCaps/>
        <w:color w:val="949699"/>
        <w:sz w:val="18"/>
        <w:szCs w:val="18"/>
      </w:rPr>
      <w:t>-</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 xml:space="preserve">2211-2898 | print </w:t>
    </w:r>
    <w:proofErr w:type="spellStart"/>
    <w:r w:rsidRPr="00FD0546">
      <w:rPr>
        <w:rFonts w:ascii="Candara" w:eastAsia="Calibri" w:hAnsi="Candara" w:cs="DTLCaspariTCaps"/>
        <w:smallCaps/>
        <w:color w:val="949699"/>
        <w:sz w:val="18"/>
        <w:szCs w:val="18"/>
      </w:rPr>
      <w:t>issn</w:t>
    </w:r>
    <w:proofErr w:type="spellEnd"/>
    <w:r w:rsidRPr="00FD0546">
      <w:rPr>
        <w:rFonts w:ascii="Candara" w:eastAsia="Calibri" w:hAnsi="Candara" w:cs="DTLCaspariTCaps"/>
        <w:color w:val="949699"/>
        <w:sz w:val="18"/>
        <w:szCs w:val="18"/>
      </w:rPr>
      <w:t xml:space="preserve"> </w:t>
    </w:r>
    <w:r w:rsidRPr="00FD0546">
      <w:rPr>
        <w:rFonts w:ascii="Candara" w:eastAsia="Calibri" w:hAnsi="Candara" w:cs="DTLCaspariST"/>
        <w:color w:val="949699"/>
        <w:sz w:val="18"/>
        <w:szCs w:val="18"/>
      </w:rPr>
      <w:t>0165-0505</w:t>
    </w:r>
  </w:p>
  <w:p w:rsidR="00FD0D44" w:rsidRDefault="00FD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44" w:rsidRDefault="00FD0D44" w:rsidP="00FD0D44">
      <w:pPr>
        <w:spacing w:after="0" w:line="240" w:lineRule="auto"/>
      </w:pPr>
      <w:r>
        <w:separator/>
      </w:r>
    </w:p>
  </w:footnote>
  <w:footnote w:type="continuationSeparator" w:id="0">
    <w:p w:rsidR="00FD0D44" w:rsidRDefault="00FD0D44" w:rsidP="00FD0D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fullPage" w:percent="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E8"/>
    <w:rsid w:val="000031DC"/>
    <w:rsid w:val="00071ECC"/>
    <w:rsid w:val="000D662B"/>
    <w:rsid w:val="001503B6"/>
    <w:rsid w:val="001E7C4F"/>
    <w:rsid w:val="00210725"/>
    <w:rsid w:val="00362DB4"/>
    <w:rsid w:val="003C30A7"/>
    <w:rsid w:val="004D3080"/>
    <w:rsid w:val="00675244"/>
    <w:rsid w:val="008307B9"/>
    <w:rsid w:val="00881418"/>
    <w:rsid w:val="008D79E8"/>
    <w:rsid w:val="00B5245A"/>
    <w:rsid w:val="00B66506"/>
    <w:rsid w:val="00D24804"/>
    <w:rsid w:val="00D8687A"/>
    <w:rsid w:val="00DF5BD1"/>
    <w:rsid w:val="00E00D41"/>
    <w:rsid w:val="00FB26E3"/>
    <w:rsid w:val="00FD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44"/>
  </w:style>
  <w:style w:type="paragraph" w:styleId="Footer">
    <w:name w:val="footer"/>
    <w:basedOn w:val="Normal"/>
    <w:link w:val="FooterChar"/>
    <w:uiPriority w:val="99"/>
    <w:unhideWhenUsed/>
    <w:rsid w:val="00FD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44"/>
  </w:style>
  <w:style w:type="paragraph" w:styleId="NoSpacing">
    <w:name w:val="No Spacing"/>
    <w:uiPriority w:val="1"/>
    <w:qFormat/>
    <w:rsid w:val="001503B6"/>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5280</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KNAW</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Werk</dc:creator>
  <cp:lastModifiedBy>Monica Soeting</cp:lastModifiedBy>
  <cp:revision>2</cp:revision>
  <dcterms:created xsi:type="dcterms:W3CDTF">2018-01-29T15:35:00Z</dcterms:created>
  <dcterms:modified xsi:type="dcterms:W3CDTF">2018-01-29T15:35:00Z</dcterms:modified>
</cp:coreProperties>
</file>